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教 案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196"/>
        <w:gridCol w:w="3608"/>
        <w:gridCol w:w="719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</w:t>
            </w:r>
          </w:p>
        </w:tc>
        <w:tc>
          <w:tcPr>
            <w:tcW w:w="4176" w:type="pct"/>
            <w:gridSpan w:val="4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1400" w:firstLineChars="5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万有引力理论的成就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24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</w:pPr>
            <w:r>
              <w:rPr>
                <w:rFonts w:hint="eastAsia"/>
              </w:rPr>
              <w:t>学科</w:t>
            </w:r>
          </w:p>
        </w:tc>
        <w:tc>
          <w:tcPr>
            <w:tcW w:w="702" w:type="pct"/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</w:pPr>
            <w:r>
              <w:rPr>
                <w:rFonts w:hint="eastAsia"/>
              </w:rPr>
              <w:t>物理</w:t>
            </w:r>
          </w:p>
        </w:tc>
        <w:tc>
          <w:tcPr>
            <w:tcW w:w="21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</w:pPr>
            <w:r>
              <w:rPr>
                <w:rFonts w:hint="eastAsia"/>
              </w:rPr>
              <w:t>学段：高一第3学段</w:t>
            </w:r>
            <w:r>
              <w:t xml:space="preserve"> </w:t>
            </w:r>
          </w:p>
        </w:tc>
        <w:tc>
          <w:tcPr>
            <w:tcW w:w="422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936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</w:pPr>
            <w:r>
              <w:rPr>
                <w:rFonts w:hint="eastAsia"/>
              </w:rPr>
              <w:t>高一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</w:tcPr>
          <w:p>
            <w:pPr>
              <w:jc w:val="center"/>
            </w:pPr>
            <w:r>
              <w:rPr>
                <w:rFonts w:hint="eastAsia"/>
              </w:rPr>
              <w:t>教材</w:t>
            </w:r>
          </w:p>
        </w:tc>
        <w:tc>
          <w:tcPr>
            <w:tcW w:w="4176" w:type="pct"/>
            <w:gridSpan w:val="4"/>
            <w:shd w:val="clear" w:color="auto" w:fill="auto"/>
          </w:tcPr>
          <w:p>
            <w:pPr>
              <w:jc w:val="left"/>
            </w:pPr>
            <w:r>
              <w:rPr>
                <w:rFonts w:hint="eastAsia"/>
              </w:rPr>
              <w:t>书名： 普通高中教科书物理必修二册    出版社：人民教育出版社            出版日期：</w:t>
            </w:r>
            <w:r>
              <w:rPr>
                <w:rFonts w:ascii="Times New Roman" w:hAnsi="Times New Roman" w:cs="Times New Roman"/>
              </w:rPr>
              <w:t xml:space="preserve"> 2019 年8月</w:t>
            </w:r>
          </w:p>
        </w:tc>
      </w:tr>
    </w:tbl>
    <w:p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2967"/>
        <w:gridCol w:w="4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教学设计参与人员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pct"/>
          </w:tcPr>
          <w:p>
            <w:pPr>
              <w:jc w:val="center"/>
            </w:pPr>
          </w:p>
        </w:tc>
        <w:tc>
          <w:tcPr>
            <w:tcW w:w="1741" w:type="pct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441" w:type="pct"/>
          </w:tcPr>
          <w:p>
            <w:pPr>
              <w:jc w:val="center"/>
            </w:pPr>
            <w:r>
              <w:rPr>
                <w:rFonts w:hint="eastAsia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</w:pPr>
            <w:r>
              <w:rPr>
                <w:rFonts w:hint="eastAsia"/>
              </w:rPr>
              <w:t>设计者</w:t>
            </w:r>
          </w:p>
        </w:tc>
        <w:tc>
          <w:tcPr>
            <w:tcW w:w="1741" w:type="pct"/>
          </w:tcPr>
          <w:p>
            <w:pPr>
              <w:jc w:val="center"/>
            </w:pPr>
            <w:r>
              <w:rPr>
                <w:rFonts w:hint="eastAsia"/>
              </w:rPr>
              <w:t>张晓雪</w:t>
            </w:r>
          </w:p>
        </w:tc>
        <w:tc>
          <w:tcPr>
            <w:tcW w:w="2441" w:type="pct"/>
          </w:tcPr>
          <w:p>
            <w:pPr>
              <w:jc w:val="center"/>
            </w:pPr>
            <w:r>
              <w:rPr>
                <w:rFonts w:hint="eastAsia"/>
              </w:rPr>
              <w:t>北京师范大学第二附属中学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</w:pPr>
            <w:r>
              <w:rPr>
                <w:rFonts w:hint="eastAsia"/>
              </w:rPr>
              <w:t>实施者</w:t>
            </w:r>
          </w:p>
        </w:tc>
        <w:tc>
          <w:tcPr>
            <w:tcW w:w="1741" w:type="pct"/>
          </w:tcPr>
          <w:p>
            <w:pPr>
              <w:jc w:val="center"/>
            </w:pPr>
            <w:r>
              <w:rPr>
                <w:rFonts w:hint="eastAsia"/>
              </w:rPr>
              <w:t>张晓雪</w:t>
            </w:r>
          </w:p>
        </w:tc>
        <w:tc>
          <w:tcPr>
            <w:tcW w:w="2441" w:type="pct"/>
          </w:tcPr>
          <w:p>
            <w:pPr>
              <w:jc w:val="center"/>
            </w:pPr>
            <w:r>
              <w:rPr>
                <w:rFonts w:hint="eastAsia"/>
              </w:rPr>
              <w:t>北京师范大学第二附属中学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7" w:type="pct"/>
          </w:tcPr>
          <w:p>
            <w:pPr>
              <w:jc w:val="center"/>
            </w:pPr>
            <w:r>
              <w:rPr>
                <w:rFonts w:hint="eastAsia"/>
              </w:rPr>
              <w:t>指导者</w:t>
            </w:r>
          </w:p>
        </w:tc>
        <w:tc>
          <w:tcPr>
            <w:tcW w:w="1741" w:type="pct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杨蕾</w:t>
            </w:r>
          </w:p>
        </w:tc>
        <w:tc>
          <w:tcPr>
            <w:tcW w:w="2441" w:type="pct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北京八中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17" w:type="pct"/>
          </w:tcPr>
          <w:p>
            <w:pPr>
              <w:jc w:val="center"/>
            </w:pPr>
            <w:r>
              <w:rPr>
                <w:rFonts w:hint="eastAsia"/>
              </w:rPr>
              <w:t>课件制作者</w:t>
            </w:r>
          </w:p>
        </w:tc>
        <w:tc>
          <w:tcPr>
            <w:tcW w:w="1741" w:type="pct"/>
          </w:tcPr>
          <w:p>
            <w:pPr>
              <w:jc w:val="center"/>
            </w:pPr>
            <w:r>
              <w:rPr>
                <w:rFonts w:hint="eastAsia"/>
              </w:rPr>
              <w:t>张晓雪</w:t>
            </w:r>
          </w:p>
        </w:tc>
        <w:tc>
          <w:tcPr>
            <w:tcW w:w="2441" w:type="pct"/>
          </w:tcPr>
          <w:p>
            <w:pPr>
              <w:jc w:val="center"/>
            </w:pPr>
            <w:r>
              <w:rPr>
                <w:rFonts w:hint="eastAsia"/>
              </w:rPr>
              <w:t>北京师范大学第二附属中学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17" w:type="pct"/>
          </w:tcPr>
          <w:p>
            <w:pPr>
              <w:jc w:val="center"/>
            </w:pPr>
            <w:r>
              <w:rPr>
                <w:rFonts w:hint="eastAsia"/>
              </w:rPr>
              <w:t>其他参与者</w:t>
            </w:r>
          </w:p>
        </w:tc>
        <w:tc>
          <w:tcPr>
            <w:tcW w:w="1741" w:type="pct"/>
          </w:tcPr>
          <w:p>
            <w:pPr>
              <w:jc w:val="center"/>
            </w:pPr>
          </w:p>
        </w:tc>
        <w:tc>
          <w:tcPr>
            <w:tcW w:w="2441" w:type="pct"/>
          </w:tcPr>
          <w:p>
            <w:pPr>
              <w:jc w:val="center"/>
            </w:pPr>
          </w:p>
        </w:tc>
      </w:tr>
    </w:tbl>
    <w:p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D9D9D9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教学目标及教学重点、难点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教学目标：</w:t>
            </w:r>
          </w:p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（1）理解“称量地球质量”的基本思路，了解万有引力定律在天文学上的重要应用。 </w:t>
            </w:r>
          </w:p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（2）理解计算太阳质量的基本思路，能将天体问题中的对象和过程转换成相关模型后求解。</w:t>
            </w:r>
          </w:p>
          <w:p>
            <w:pPr>
              <w:spacing w:line="440" w:lineRule="exact"/>
              <w:ind w:left="525" w:hanging="525" w:hangingChars="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</w:t>
            </w:r>
            <w:r>
              <w:rPr>
                <w:color w:val="000000"/>
                <w:szCs w:val="21"/>
              </w:rPr>
              <w:t>能说出万有引力定律在发现未知天体等领域贡献</w:t>
            </w:r>
            <w:r>
              <w:rPr>
                <w:rFonts w:hint="eastAsia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认识科学定律对人类探索未知世界的作用。</w:t>
            </w:r>
          </w:p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教学重点：</w:t>
            </w:r>
            <w:r>
              <w:rPr>
                <w:color w:val="000000"/>
                <w:szCs w:val="21"/>
              </w:rPr>
              <w:t>应用万有引力定律称量地球的质量、计算天体质量</w:t>
            </w:r>
            <w:r>
              <w:rPr>
                <w:rFonts w:hint="eastAsia"/>
                <w:color w:val="000000"/>
                <w:szCs w:val="21"/>
              </w:rPr>
              <w:t>。</w:t>
            </w:r>
          </w:p>
          <w:p>
            <w:pPr>
              <w:spacing w:after="62" w:afterLines="20" w:line="4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教学难点：模型建构，将天体问题中的对象和过程转换成相关模型。</w:t>
            </w:r>
          </w:p>
        </w:tc>
      </w:tr>
    </w:tbl>
    <w:p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5215"/>
        <w:gridCol w:w="2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shd w:val="clear" w:color="auto" w:fill="D9D9D9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教学过程(表格描述)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教学环节</w:t>
            </w:r>
          </w:p>
        </w:tc>
        <w:tc>
          <w:tcPr>
            <w:tcW w:w="3060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主要教学活动</w:t>
            </w:r>
          </w:p>
        </w:tc>
        <w:tc>
          <w:tcPr>
            <w:tcW w:w="1242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设置意图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698" w:type="pct"/>
          </w:tcPr>
          <w:p>
            <w:pPr>
              <w:spacing w:before="62" w:beforeLines="20"/>
              <w:ind w:firstLine="105" w:firstLineChars="50"/>
            </w:pPr>
            <w:r>
              <w:rPr>
                <w:rFonts w:hint="eastAsia"/>
              </w:rPr>
              <w:t>一、引入</w:t>
            </w:r>
          </w:p>
          <w:p>
            <w:pPr>
              <w:pStyle w:val="8"/>
              <w:ind w:left="720" w:firstLine="0" w:firstLineChars="0"/>
            </w:pPr>
          </w:p>
          <w:p>
            <w:r>
              <w:rPr>
                <w:rFonts w:hint="eastAsia"/>
              </w:rPr>
              <w:t xml:space="preserve"> </w:t>
            </w:r>
          </w:p>
          <w:p>
            <w:r>
              <w:rPr>
                <w:rFonts w:hint="eastAsia"/>
              </w:rPr>
              <w:t>二、测定天体的质量</w:t>
            </w:r>
          </w:p>
          <w:p>
            <w:pPr>
              <w:snapToGrid w:val="0"/>
            </w:pPr>
          </w:p>
          <w:p>
            <w:r>
              <w:rPr>
                <w:rFonts w:hint="eastAsia"/>
              </w:rPr>
              <w:t>1. “称量”地球的质量</w:t>
            </w:r>
          </w:p>
          <w:p/>
          <w:p>
            <w:pPr>
              <w:spacing w:before="156" w:beforeLines="50"/>
            </w:pPr>
            <w:r>
              <w:rPr>
                <w:rFonts w:hint="eastAsia"/>
              </w:rPr>
              <w:t>2. 计算天体的质量</w:t>
            </w:r>
          </w:p>
          <w:p>
            <w:r>
              <w:rPr>
                <w:rFonts w:hint="eastAsia"/>
              </w:rPr>
              <w:t>（太阳、月球）</w:t>
            </w:r>
          </w:p>
          <w:p/>
          <w:p/>
          <w:p/>
          <w:p/>
          <w:p/>
          <w:p/>
          <w:p/>
          <w:p/>
          <w:p>
            <w:r>
              <w:rPr>
                <w:rFonts w:hint="eastAsia"/>
              </w:rPr>
              <w:t>三、发现未知天体</w:t>
            </w:r>
          </w:p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/>
          <w:p>
            <w:r>
              <w:rPr>
                <w:rFonts w:hint="eastAsia"/>
              </w:rPr>
              <w:t>四、预言哈雷彗星的回归</w:t>
            </w:r>
          </w:p>
          <w:p/>
          <w:p>
            <w:pPr>
              <w:spacing w:before="31" w:beforeLines="10"/>
            </w:pPr>
          </w:p>
          <w:p>
            <w:r>
              <w:rPr>
                <w:rFonts w:hint="eastAsia"/>
              </w:rPr>
              <w:t>五、万有引力定律的其他应用</w:t>
            </w:r>
          </w:p>
          <w:p/>
          <w:p/>
          <w:p/>
          <w:p/>
          <w:p>
            <w:r>
              <w:rPr>
                <w:rFonts w:hint="eastAsia"/>
              </w:rPr>
              <w:t>六、总结</w:t>
            </w:r>
          </w:p>
        </w:tc>
        <w:tc>
          <w:tcPr>
            <w:tcW w:w="3060" w:type="pct"/>
          </w:tcPr>
          <w:p>
            <w:pPr>
              <w:spacing w:before="62" w:beforeLines="2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故事引入：由天王星到海王星的发现。提出：万有引力定律给天文学的研究开辟了新的道路，我们一起探索。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以问题串的形式，引导学生建构模型，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从什么角度思考这一问题？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szCs w:val="21"/>
              </w:rPr>
            </w:pPr>
            <w:r>
              <w:rPr>
                <w:rFonts w:hint="eastAsia"/>
              </w:rPr>
              <w:t>选择哪个物体作为研究对象？运动情况如何，受力情况又如何？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szCs w:val="21"/>
              </w:rPr>
            </w:pPr>
            <w:r>
              <w:rPr>
                <w:rFonts w:hint="eastAsia"/>
              </w:rPr>
              <w:t>我们需要做怎样的简化？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szCs w:val="21"/>
              </w:rPr>
            </w:pPr>
            <w:r>
              <w:rPr>
                <w:rFonts w:hint="eastAsia"/>
              </w:rPr>
              <w:t>推出地球质量的表达式，式中的量是否可观测？</w:t>
            </w:r>
            <w:r>
              <w:rPr>
                <w:szCs w:val="21"/>
              </w:rPr>
              <w:t xml:space="preserve"> </w:t>
            </w:r>
          </w:p>
          <w:p>
            <w:pPr>
              <w:spacing w:before="156" w:beforeLines="50"/>
              <w:ind w:left="108"/>
              <w:rPr>
                <w:szCs w:val="21"/>
              </w:rPr>
            </w:pPr>
            <w:r>
              <w:rPr>
                <w:rFonts w:hint="eastAsia"/>
                <w:szCs w:val="21"/>
              </w:rPr>
              <w:t>通过问题引导，启发学生自主探究太阳的质量，再一次深化模型的建构。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引导学生分析：选择不同的行星计算结果会不同吗（与开普勒第三定律相结合）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设计有梯度的4个问题。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求的是中心天体还是环绕天体的质量？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如何更准确计算地球的质量？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如何测量月球质量（没有天然的卫星）？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如何测量未知天体的密度？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小探究：是否通过</w:t>
            </w:r>
            <w:r>
              <w:rPr>
                <w:rFonts w:hint="eastAsia"/>
              </w:rPr>
              <w:t>未知天体的近地卫星环绕一周的时间，得到天体的密度？</w:t>
            </w:r>
          </w:p>
          <w:p>
            <w:pPr>
              <w:pStyle w:val="8"/>
              <w:ind w:left="825" w:firstLine="0" w:firstLineChars="0"/>
              <w:rPr>
                <w:szCs w:val="21"/>
              </w:rPr>
            </w:pP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引导学生思考探究：万有引力计算的天王星轨道与实际观测结果有偏差的原因。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讲解海王星发现的有关知识，思考海王星为什么被称为“笔尖下发现的行星”？（重点放在讲解海王星发现的历史故事，从中感受到牛顿引力理论的应用价值，和人们探索未知世界的科学精神。）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体会海王星发现过程中所体现的科学研究方法：发现问题，大胆猜想，理论推导，实践检验。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拓展知识：冥王星的发现，双星和球状星团可用万有引力定律分析。</w:t>
            </w:r>
          </w:p>
          <w:p>
            <w:pPr>
              <w:ind w:left="105"/>
              <w:rPr>
                <w:szCs w:val="21"/>
              </w:rPr>
            </w:pP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科学史的讲解：英国天文学家哈雷成功预言哈雷彗星的回归。（学生对哈雷彗星更熟悉，容易引起共鸣）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>引导学生估算哈雷彗星的周期，体验用万有引力定律解决问题。</w:t>
            </w:r>
          </w:p>
          <w:p>
            <w:pPr>
              <w:ind w:left="105"/>
              <w:rPr>
                <w:szCs w:val="21"/>
              </w:rPr>
            </w:pP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拓展知识：</w:t>
            </w: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（1）潮汐现象</w:t>
            </w:r>
          </w:p>
          <w:p>
            <w:pPr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（2）地球形状的争论——“橘子”与“柠檬”之争</w:t>
            </w:r>
          </w:p>
          <w:p>
            <w:pPr>
              <w:ind w:left="105" w:firstLine="105" w:firstLineChars="50"/>
              <w:rPr>
                <w:szCs w:val="21"/>
              </w:rPr>
            </w:pPr>
            <w:r>
              <w:rPr>
                <w:rFonts w:hint="eastAsia"/>
                <w:szCs w:val="21"/>
              </w:rPr>
              <w:t>（3）重力勘探</w:t>
            </w:r>
          </w:p>
          <w:p>
            <w:pPr>
              <w:ind w:left="10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这些拓展的知识有些可以用万有引力定律解释，有些是对万有引力定律最有效的实验验证之一。</w:t>
            </w:r>
          </w:p>
          <w:p>
            <w:pPr>
              <w:ind w:left="105"/>
              <w:rPr>
                <w:szCs w:val="21"/>
              </w:rPr>
            </w:pPr>
          </w:p>
          <w:p>
            <w:pPr>
              <w:spacing w:before="31" w:beforeLines="10"/>
              <w:ind w:left="108"/>
              <w:rPr>
                <w:szCs w:val="21"/>
              </w:rPr>
            </w:pPr>
            <w:r>
              <w:rPr>
                <w:rFonts w:hint="eastAsia"/>
                <w:szCs w:val="21"/>
              </w:rPr>
              <w:t>对本节课分析问题的方法总结，引发学生思考</w:t>
            </w:r>
            <w:r>
              <w:rPr>
                <w:rFonts w:hint="eastAsia"/>
              </w:rPr>
              <w:t>。</w:t>
            </w:r>
          </w:p>
          <w:p>
            <w:pPr>
              <w:ind w:left="105"/>
              <w:rPr>
                <w:szCs w:val="21"/>
              </w:rPr>
            </w:pPr>
          </w:p>
          <w:p>
            <w:pPr>
              <w:ind w:left="105"/>
              <w:rPr>
                <w:szCs w:val="21"/>
              </w:rPr>
            </w:pPr>
          </w:p>
        </w:tc>
        <w:tc>
          <w:tcPr>
            <w:tcW w:w="1242" w:type="pct"/>
          </w:tcPr>
          <w:p>
            <w:pPr>
              <w:spacing w:before="62" w:beforeLines="20"/>
            </w:pPr>
            <w:r>
              <w:rPr>
                <w:rFonts w:hint="eastAsia"/>
              </w:rPr>
              <w:t>激发学生探究的兴趣</w:t>
            </w:r>
          </w:p>
          <w:p>
            <w:pPr>
              <w:spacing w:before="62" w:beforeLines="20"/>
            </w:pPr>
          </w:p>
          <w:p>
            <w:pPr>
              <w:spacing w:before="62" w:beforeLines="20"/>
            </w:pPr>
          </w:p>
          <w:p>
            <w:pPr>
              <w:spacing w:before="62" w:beforeLines="2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真实问题情境：称量地球。分解具体的小问题，培养学生模型建构，思考如何运用所学的知识来解决问题。</w:t>
            </w:r>
          </w:p>
          <w:p>
            <w:pPr>
              <w:spacing w:before="156" w:beforeLines="5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真实问题情境：称量太阳和月球。引导学生能将不同的天体问题中的对象和过程转换成相关模型求解。聚焦如何思考。设计问题注意梯度，保证不同层次学生都有收获。</w:t>
            </w:r>
          </w:p>
          <w:p>
            <w:pPr>
              <w:spacing w:before="31" w:beforeLines="10"/>
              <w:rPr>
                <w:szCs w:val="21"/>
              </w:rPr>
            </w:pPr>
            <w:r>
              <w:rPr>
                <w:rFonts w:hint="eastAsia"/>
                <w:szCs w:val="21"/>
              </w:rPr>
              <w:t>小探究供基础好的同学拓展学习。</w:t>
            </w: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  <w:r>
              <w:rPr>
                <w:rFonts w:hint="eastAsia"/>
                <w:szCs w:val="21"/>
              </w:rPr>
              <w:t>使学生体会科学研究的过程，感受科学理论对实践的巨大指导作用。</w:t>
            </w: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rFonts w:hint="eastAsia"/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  <w:r>
              <w:rPr>
                <w:rFonts w:hint="eastAsia"/>
                <w:szCs w:val="21"/>
              </w:rPr>
              <w:t>通过哈雷彗星的“按时回归”这个科学史上的美谈，体会万有引力定律的成就。</w:t>
            </w: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  <w:r>
              <w:rPr>
                <w:rFonts w:hint="eastAsia"/>
                <w:szCs w:val="21"/>
              </w:rPr>
              <w:t>利用这些素材，激发学生学习物理的兴趣。</w:t>
            </w: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62" w:beforeLines="20"/>
              <w:rPr>
                <w:szCs w:val="21"/>
              </w:rPr>
            </w:pPr>
          </w:p>
          <w:p>
            <w:pPr>
              <w:spacing w:before="156" w:beforeLines="50"/>
              <w:rPr>
                <w:szCs w:val="21"/>
              </w:rPr>
            </w:pPr>
            <w:r>
              <w:rPr>
                <w:rFonts w:hint="eastAsia"/>
                <w:szCs w:val="21"/>
              </w:rPr>
              <w:t>归纳总结</w:t>
            </w:r>
          </w:p>
          <w:p>
            <w:pPr>
              <w:spacing w:before="62" w:beforeLines="20"/>
              <w:rPr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86064"/>
    <w:multiLevelType w:val="multilevel"/>
    <w:tmpl w:val="07B86064"/>
    <w:lvl w:ilvl="0" w:tentative="0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45" w:hanging="420"/>
      </w:pPr>
    </w:lvl>
    <w:lvl w:ilvl="2" w:tentative="0">
      <w:start w:val="1"/>
      <w:numFmt w:val="lowerRoman"/>
      <w:lvlText w:val="%3."/>
      <w:lvlJc w:val="right"/>
      <w:pPr>
        <w:ind w:left="1365" w:hanging="420"/>
      </w:pPr>
    </w:lvl>
    <w:lvl w:ilvl="3" w:tentative="0">
      <w:start w:val="1"/>
      <w:numFmt w:val="decimal"/>
      <w:lvlText w:val="%4."/>
      <w:lvlJc w:val="left"/>
      <w:pPr>
        <w:ind w:left="1785" w:hanging="420"/>
      </w:pPr>
    </w:lvl>
    <w:lvl w:ilvl="4" w:tentative="0">
      <w:start w:val="1"/>
      <w:numFmt w:val="lowerLetter"/>
      <w:lvlText w:val="%5)"/>
      <w:lvlJc w:val="left"/>
      <w:pPr>
        <w:ind w:left="2205" w:hanging="420"/>
      </w:pPr>
    </w:lvl>
    <w:lvl w:ilvl="5" w:tentative="0">
      <w:start w:val="1"/>
      <w:numFmt w:val="lowerRoman"/>
      <w:lvlText w:val="%6."/>
      <w:lvlJc w:val="right"/>
      <w:pPr>
        <w:ind w:left="2625" w:hanging="420"/>
      </w:pPr>
    </w:lvl>
    <w:lvl w:ilvl="6" w:tentative="0">
      <w:start w:val="1"/>
      <w:numFmt w:val="decimal"/>
      <w:lvlText w:val="%7."/>
      <w:lvlJc w:val="left"/>
      <w:pPr>
        <w:ind w:left="3045" w:hanging="420"/>
      </w:pPr>
    </w:lvl>
    <w:lvl w:ilvl="7" w:tentative="0">
      <w:start w:val="1"/>
      <w:numFmt w:val="lowerLetter"/>
      <w:lvlText w:val="%8)"/>
      <w:lvlJc w:val="left"/>
      <w:pPr>
        <w:ind w:left="3465" w:hanging="420"/>
      </w:pPr>
    </w:lvl>
    <w:lvl w:ilvl="8" w:tentative="0">
      <w:start w:val="1"/>
      <w:numFmt w:val="lowerRoman"/>
      <w:lvlText w:val="%9."/>
      <w:lvlJc w:val="right"/>
      <w:pPr>
        <w:ind w:left="3885" w:hanging="420"/>
      </w:pPr>
    </w:lvl>
  </w:abstractNum>
  <w:abstractNum w:abstractNumId="1">
    <w:nsid w:val="112A27BB"/>
    <w:multiLevelType w:val="multilevel"/>
    <w:tmpl w:val="112A27BB"/>
    <w:lvl w:ilvl="0" w:tentative="0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45" w:hanging="420"/>
      </w:pPr>
    </w:lvl>
    <w:lvl w:ilvl="2" w:tentative="0">
      <w:start w:val="1"/>
      <w:numFmt w:val="lowerRoman"/>
      <w:lvlText w:val="%3."/>
      <w:lvlJc w:val="right"/>
      <w:pPr>
        <w:ind w:left="1365" w:hanging="420"/>
      </w:pPr>
    </w:lvl>
    <w:lvl w:ilvl="3" w:tentative="0">
      <w:start w:val="1"/>
      <w:numFmt w:val="decimal"/>
      <w:lvlText w:val="%4."/>
      <w:lvlJc w:val="left"/>
      <w:pPr>
        <w:ind w:left="1785" w:hanging="420"/>
      </w:pPr>
    </w:lvl>
    <w:lvl w:ilvl="4" w:tentative="0">
      <w:start w:val="1"/>
      <w:numFmt w:val="lowerLetter"/>
      <w:lvlText w:val="%5)"/>
      <w:lvlJc w:val="left"/>
      <w:pPr>
        <w:ind w:left="2205" w:hanging="420"/>
      </w:pPr>
    </w:lvl>
    <w:lvl w:ilvl="5" w:tentative="0">
      <w:start w:val="1"/>
      <w:numFmt w:val="lowerRoman"/>
      <w:lvlText w:val="%6."/>
      <w:lvlJc w:val="right"/>
      <w:pPr>
        <w:ind w:left="2625" w:hanging="420"/>
      </w:pPr>
    </w:lvl>
    <w:lvl w:ilvl="6" w:tentative="0">
      <w:start w:val="1"/>
      <w:numFmt w:val="decimal"/>
      <w:lvlText w:val="%7."/>
      <w:lvlJc w:val="left"/>
      <w:pPr>
        <w:ind w:left="3045" w:hanging="420"/>
      </w:pPr>
    </w:lvl>
    <w:lvl w:ilvl="7" w:tentative="0">
      <w:start w:val="1"/>
      <w:numFmt w:val="lowerLetter"/>
      <w:lvlText w:val="%8)"/>
      <w:lvlJc w:val="left"/>
      <w:pPr>
        <w:ind w:left="3465" w:hanging="420"/>
      </w:pPr>
    </w:lvl>
    <w:lvl w:ilvl="8" w:tentative="0">
      <w:start w:val="1"/>
      <w:numFmt w:val="lowerRoman"/>
      <w:lvlText w:val="%9."/>
      <w:lvlJc w:val="right"/>
      <w:pPr>
        <w:ind w:left="388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44"/>
    <w:rsid w:val="00023459"/>
    <w:rsid w:val="00071C1C"/>
    <w:rsid w:val="000E16A2"/>
    <w:rsid w:val="000E4446"/>
    <w:rsid w:val="00105013"/>
    <w:rsid w:val="001546F2"/>
    <w:rsid w:val="00176E33"/>
    <w:rsid w:val="001968BC"/>
    <w:rsid w:val="001A02BE"/>
    <w:rsid w:val="001A27B6"/>
    <w:rsid w:val="001B2144"/>
    <w:rsid w:val="001C584E"/>
    <w:rsid w:val="001F3F58"/>
    <w:rsid w:val="002826CD"/>
    <w:rsid w:val="002A2469"/>
    <w:rsid w:val="002B73DA"/>
    <w:rsid w:val="002D32C5"/>
    <w:rsid w:val="00341B40"/>
    <w:rsid w:val="00371167"/>
    <w:rsid w:val="003D4155"/>
    <w:rsid w:val="003E0C08"/>
    <w:rsid w:val="003E68F0"/>
    <w:rsid w:val="004650E6"/>
    <w:rsid w:val="00481E7D"/>
    <w:rsid w:val="00544320"/>
    <w:rsid w:val="005611A0"/>
    <w:rsid w:val="005A10DC"/>
    <w:rsid w:val="00611EAD"/>
    <w:rsid w:val="00631B19"/>
    <w:rsid w:val="006538DD"/>
    <w:rsid w:val="00696862"/>
    <w:rsid w:val="006A07AC"/>
    <w:rsid w:val="006D6EEC"/>
    <w:rsid w:val="006E4187"/>
    <w:rsid w:val="006F059F"/>
    <w:rsid w:val="006F1989"/>
    <w:rsid w:val="006F36EE"/>
    <w:rsid w:val="00701AE7"/>
    <w:rsid w:val="007209BB"/>
    <w:rsid w:val="00750F89"/>
    <w:rsid w:val="007518B8"/>
    <w:rsid w:val="00773DD5"/>
    <w:rsid w:val="008237AE"/>
    <w:rsid w:val="00915886"/>
    <w:rsid w:val="009F6241"/>
    <w:rsid w:val="00A004B0"/>
    <w:rsid w:val="00A0757F"/>
    <w:rsid w:val="00A257CB"/>
    <w:rsid w:val="00AA3006"/>
    <w:rsid w:val="00B12C19"/>
    <w:rsid w:val="00B4390D"/>
    <w:rsid w:val="00B51DBD"/>
    <w:rsid w:val="00B7159C"/>
    <w:rsid w:val="00B9785A"/>
    <w:rsid w:val="00BC2DFE"/>
    <w:rsid w:val="00C01DF0"/>
    <w:rsid w:val="00C54DB5"/>
    <w:rsid w:val="00C62835"/>
    <w:rsid w:val="00CA6344"/>
    <w:rsid w:val="00CB4938"/>
    <w:rsid w:val="00CB5F14"/>
    <w:rsid w:val="00CE0728"/>
    <w:rsid w:val="00D0326D"/>
    <w:rsid w:val="00D57B49"/>
    <w:rsid w:val="00D74124"/>
    <w:rsid w:val="00DD320F"/>
    <w:rsid w:val="00E37ACA"/>
    <w:rsid w:val="00EC76EB"/>
    <w:rsid w:val="00F524E9"/>
    <w:rsid w:val="00F94C76"/>
    <w:rsid w:val="00FC1926"/>
    <w:rsid w:val="3D566554"/>
    <w:rsid w:val="5D95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1323</Characters>
  <Lines>11</Lines>
  <Paragraphs>3</Paragraphs>
  <TotalTime>133</TotalTime>
  <ScaleCrop>false</ScaleCrop>
  <LinksUpToDate>false</LinksUpToDate>
  <CharactersWithSpaces>1551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Administrator</cp:lastModifiedBy>
  <dcterms:modified xsi:type="dcterms:W3CDTF">2020-04-24T10:25:54Z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