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生物试题参考答案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一、选择题（本大题共</w:t>
      </w:r>
      <w:r>
        <w:rPr>
          <w:color w:val="000000"/>
          <w:szCs w:val="21"/>
        </w:rPr>
        <w:t xml:space="preserve">25 </w:t>
      </w:r>
      <w:r>
        <w:rPr>
          <w:rFonts w:hint="eastAsia"/>
          <w:color w:val="000000"/>
          <w:szCs w:val="21"/>
        </w:rPr>
        <w:t>小题，每小题</w:t>
      </w:r>
      <w:r>
        <w:rPr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分，共</w:t>
      </w:r>
      <w:r>
        <w:rPr>
          <w:color w:val="000000"/>
          <w:szCs w:val="21"/>
        </w:rPr>
        <w:t xml:space="preserve"> 50</w:t>
      </w:r>
      <w:r>
        <w:rPr>
          <w:rFonts w:hint="eastAsia"/>
          <w:color w:val="000000"/>
          <w:szCs w:val="21"/>
        </w:rPr>
        <w:t>分）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color w:val="000000"/>
          <w:szCs w:val="21"/>
        </w:rPr>
        <w:t xml:space="preserve">1-10  CBBDA     CAAAD   11-25   BDCBA   BCCAB   DCADC 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二、非选择题（本大题共</w:t>
      </w:r>
      <w:r>
        <w:rPr>
          <w:color w:val="000000"/>
          <w:szCs w:val="21"/>
        </w:rPr>
        <w:t xml:space="preserve">5 </w:t>
      </w:r>
      <w:r>
        <w:rPr>
          <w:rFonts w:hint="eastAsia"/>
          <w:color w:val="000000"/>
          <w:szCs w:val="21"/>
        </w:rPr>
        <w:t>小题，共</w:t>
      </w:r>
      <w:r>
        <w:rPr>
          <w:color w:val="000000"/>
          <w:szCs w:val="21"/>
        </w:rPr>
        <w:t xml:space="preserve"> 50 </w:t>
      </w:r>
      <w:r>
        <w:rPr>
          <w:rFonts w:hint="eastAsia"/>
          <w:color w:val="000000"/>
          <w:szCs w:val="21"/>
        </w:rPr>
        <w:t>分）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color w:val="000000"/>
          <w:szCs w:val="21"/>
        </w:rPr>
        <w:t>26.</w:t>
      </w: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）积累量（</w:t>
      </w:r>
      <w:r>
        <w:rPr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）次生演替</w:t>
      </w:r>
      <w:r>
        <w:rPr>
          <w:color w:val="000000"/>
          <w:szCs w:val="21"/>
        </w:rPr>
        <w:t xml:space="preserve">   </w:t>
      </w:r>
      <w:r>
        <w:rPr>
          <w:rFonts w:hint="eastAsia"/>
          <w:color w:val="000000"/>
          <w:szCs w:val="21"/>
        </w:rPr>
        <w:t>垂直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）顶极群落</w:t>
      </w:r>
      <w:r>
        <w:rPr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</w:rPr>
        <w:t>群落的总初级生产量与总呼吸量相等</w:t>
      </w:r>
      <w:r>
        <w:rPr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</w:rPr>
        <w:t>乔木</w:t>
      </w:r>
      <w:r>
        <w:rPr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</w:rPr>
        <w:t>高灌木、矮灌木和草本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color w:val="000000"/>
          <w:szCs w:val="21"/>
        </w:rPr>
        <w:t xml:space="preserve">27. </w:t>
      </w: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）液泡</w:t>
      </w:r>
      <w:r>
        <w:rPr>
          <w:color w:val="000000"/>
          <w:szCs w:val="21"/>
        </w:rPr>
        <w:t xml:space="preserve">     ATP</w:t>
      </w:r>
      <w:r>
        <w:rPr>
          <w:rFonts w:hint="eastAsia"/>
          <w:color w:val="000000"/>
          <w:szCs w:val="21"/>
        </w:rPr>
        <w:t>和</w:t>
      </w:r>
      <w:r>
        <w:rPr>
          <w:color w:val="000000"/>
          <w:szCs w:val="21"/>
        </w:rPr>
        <w:t xml:space="preserve">NADPH    </w:t>
      </w:r>
      <w:r>
        <w:rPr>
          <w:rFonts w:hint="eastAsia"/>
          <w:color w:val="000000"/>
          <w:szCs w:val="21"/>
        </w:rPr>
        <w:t>三碳糖磷酸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）光反应</w:t>
      </w:r>
      <w:r>
        <w:rPr>
          <w:color w:val="000000"/>
          <w:szCs w:val="21"/>
        </w:rPr>
        <w:t xml:space="preserve">   </w:t>
      </w:r>
      <w:r>
        <w:rPr>
          <w:rFonts w:hint="eastAsia"/>
          <w:color w:val="000000"/>
          <w:szCs w:val="21"/>
        </w:rPr>
        <w:t>较低、较高</w:t>
      </w:r>
      <w:r>
        <w:rPr>
          <w:color w:val="000000"/>
          <w:szCs w:val="21"/>
        </w:rPr>
        <w:t xml:space="preserve">     </w:t>
      </w:r>
      <w:r>
        <w:rPr>
          <w:rFonts w:hint="eastAsia"/>
          <w:color w:val="000000"/>
          <w:szCs w:val="21"/>
        </w:rPr>
        <w:t>光照下淀粉含量增加，黑暗下淀粉含量减少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）淀粉遇碘显蓝色，其颜色深浅与淀粉含量在一定范围内成正比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color w:val="000000"/>
          <w:szCs w:val="21"/>
          <w:vertAlign w:val="superscript"/>
        </w:rPr>
        <w:t>14</w:t>
      </w:r>
      <w:r>
        <w:rPr>
          <w:color w:val="000000"/>
          <w:szCs w:val="21"/>
        </w:rPr>
        <w:t>CO</w:t>
      </w:r>
      <w:r>
        <w:rPr>
          <w:color w:val="000000"/>
          <w:szCs w:val="21"/>
          <w:vertAlign w:val="subscript"/>
        </w:rPr>
        <w:t>2</w:t>
      </w:r>
      <w:r>
        <w:rPr>
          <w:rFonts w:hint="eastAsia"/>
          <w:color w:val="000000"/>
          <w:szCs w:val="21"/>
        </w:rPr>
        <w:t>的同位素示踪</w:t>
      </w:r>
      <w:r>
        <w:rPr>
          <w:color w:val="000000"/>
          <w:szCs w:val="21"/>
        </w:rPr>
        <w:t xml:space="preserve"> 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color w:val="000000"/>
          <w:szCs w:val="21"/>
        </w:rPr>
        <w:t>28.</w:t>
      </w: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）隐性</w:t>
      </w:r>
      <w:r>
        <w:rPr>
          <w:color w:val="000000"/>
          <w:szCs w:val="21"/>
        </w:rPr>
        <w:t xml:space="preserve">   2    (2)mRNA      </w:t>
      </w:r>
      <w:r>
        <w:rPr>
          <w:rFonts w:hint="eastAsia"/>
          <w:color w:val="000000"/>
          <w:szCs w:val="21"/>
        </w:rPr>
        <w:t>用</w:t>
      </w:r>
      <w:r>
        <w:rPr>
          <w:color w:val="000000"/>
          <w:szCs w:val="21"/>
        </w:rPr>
        <w:t xml:space="preserve"> DNA </w:t>
      </w:r>
      <w:r>
        <w:rPr>
          <w:rFonts w:hint="eastAsia"/>
          <w:color w:val="000000"/>
          <w:szCs w:val="21"/>
        </w:rPr>
        <w:t>酶处理提取的</w:t>
      </w:r>
      <w:r>
        <w:rPr>
          <w:color w:val="000000"/>
          <w:szCs w:val="21"/>
        </w:rPr>
        <w:t xml:space="preserve"> RNA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）乙和丙的抗除草剂基因位于非同源染色体上，乙和丙上抗除草剂基因的遗传遵循自由组合定律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4</w:t>
      </w:r>
      <w:r>
        <w:rPr>
          <w:rFonts w:hint="eastAsia"/>
          <w:color w:val="000000"/>
          <w:szCs w:val="21"/>
        </w:rPr>
        <w:t>）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color w:val="000000"/>
          <w:szCs w:val="21"/>
        </w:rPr>
        <w:drawing>
          <wp:inline distT="0" distB="0" distL="114300" distR="114300">
            <wp:extent cx="4162425" cy="1695450"/>
            <wp:effectExtent l="0" t="0" r="3175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color w:val="000000"/>
          <w:szCs w:val="21"/>
        </w:rPr>
        <w:t>29.</w:t>
      </w:r>
      <w:r>
        <w:rPr>
          <w:rFonts w:hint="eastAsia"/>
          <w:color w:val="000000"/>
          <w:szCs w:val="21"/>
        </w:rPr>
        <w:t>（一）（</w:t>
      </w:r>
      <w:r>
        <w:rPr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）冷却</w:t>
      </w:r>
      <w:r>
        <w:rPr>
          <w:color w:val="000000"/>
          <w:szCs w:val="21"/>
        </w:rPr>
        <w:t xml:space="preserve">     </w:t>
      </w:r>
      <w:r>
        <w:rPr>
          <w:rFonts w:hint="eastAsia"/>
          <w:color w:val="000000"/>
          <w:szCs w:val="21"/>
        </w:rPr>
        <w:t>玻璃刮刀</w:t>
      </w:r>
      <w:r>
        <w:rPr>
          <w:color w:val="000000"/>
          <w:szCs w:val="21"/>
        </w:rPr>
        <w:t xml:space="preserve">     </w:t>
      </w:r>
      <w:r>
        <w:rPr>
          <w:rFonts w:hint="eastAsia"/>
          <w:color w:val="000000"/>
          <w:szCs w:val="21"/>
        </w:rPr>
        <w:t>较大透明圈</w:t>
      </w:r>
      <w:r>
        <w:rPr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</w:rPr>
        <w:t>斜面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）乙醇</w:t>
      </w:r>
      <w:r>
        <w:rPr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</w:rPr>
        <w:t>耐酒精度高、耐酸高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）灭菌</w:t>
      </w:r>
      <w:r>
        <w:rPr>
          <w:color w:val="000000"/>
          <w:szCs w:val="21"/>
        </w:rPr>
        <w:t xml:space="preserve">   </w:t>
      </w:r>
      <w:r>
        <w:rPr>
          <w:rFonts w:hint="eastAsia"/>
          <w:color w:val="000000"/>
          <w:szCs w:val="21"/>
        </w:rPr>
        <w:t>吸附法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（二）（</w:t>
      </w:r>
      <w:r>
        <w:rPr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）富营养化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）重组</w:t>
      </w:r>
      <w:r>
        <w:rPr>
          <w:color w:val="000000"/>
          <w:szCs w:val="21"/>
        </w:rPr>
        <w:t>DNA</w:t>
      </w:r>
      <w:r>
        <w:rPr>
          <w:rFonts w:hint="eastAsia"/>
          <w:color w:val="000000"/>
          <w:szCs w:val="21"/>
        </w:rPr>
        <w:t>分子</w:t>
      </w:r>
      <w:r>
        <w:rPr>
          <w:color w:val="000000"/>
          <w:szCs w:val="21"/>
        </w:rPr>
        <w:t xml:space="preserve">   </w:t>
      </w:r>
      <w:r>
        <w:rPr>
          <w:rFonts w:hint="eastAsia"/>
          <w:color w:val="000000"/>
          <w:szCs w:val="21"/>
        </w:rPr>
        <w:t>限制性核酸内切酶的识别序列、抗生素抗性基因</w:t>
      </w:r>
      <w:r>
        <w:rPr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</w:rPr>
        <w:t>显微注射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）胰蛋白酶</w:t>
      </w:r>
      <w:r>
        <w:rPr>
          <w:color w:val="000000"/>
          <w:szCs w:val="21"/>
        </w:rPr>
        <w:t xml:space="preserve">     </w:t>
      </w:r>
      <w:r>
        <w:rPr>
          <w:rFonts w:hint="eastAsia"/>
          <w:color w:val="000000"/>
          <w:szCs w:val="21"/>
        </w:rPr>
        <w:t>原代</w:t>
      </w:r>
      <w:r>
        <w:rPr>
          <w:color w:val="000000"/>
          <w:szCs w:val="21"/>
        </w:rPr>
        <w:t xml:space="preserve">     </w:t>
      </w:r>
      <w:r>
        <w:rPr>
          <w:rFonts w:hint="eastAsia"/>
          <w:color w:val="000000"/>
          <w:szCs w:val="21"/>
        </w:rPr>
        <w:t>饲养层细胞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color w:val="000000"/>
          <w:szCs w:val="21"/>
        </w:rPr>
        <w:t>30.</w:t>
      </w: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）离体条件下，施加</w:t>
      </w:r>
      <w:r>
        <w:rPr>
          <w:color w:val="000000"/>
          <w:szCs w:val="21"/>
        </w:rPr>
        <w:t>1%</w:t>
      </w:r>
      <w:r>
        <w:rPr>
          <w:rFonts w:hint="eastAsia"/>
          <w:color w:val="000000"/>
          <w:szCs w:val="21"/>
        </w:rPr>
        <w:t>酒精，对神经肌肉接点、肌肉收缩功能没有显著影响</w:t>
      </w:r>
    </w:p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）</w:t>
      </w:r>
      <w:r>
        <w:rPr>
          <w:color w:val="000000"/>
          <w:szCs w:val="21"/>
        </w:rPr>
        <w:t xml:space="preserve">      </w:t>
      </w:r>
      <w:r>
        <w:rPr>
          <w:rFonts w:hint="eastAsia"/>
          <w:color w:val="000000"/>
          <w:szCs w:val="21"/>
        </w:rPr>
        <w:t>表</w:t>
      </w:r>
      <w:r>
        <w:rPr>
          <w:color w:val="000000"/>
          <w:szCs w:val="21"/>
        </w:rPr>
        <w:t xml:space="preserve">  </w:t>
      </w:r>
      <w:r>
        <w:rPr>
          <w:rFonts w:hint="eastAsia"/>
          <w:color w:val="000000"/>
          <w:szCs w:val="21"/>
        </w:rPr>
        <w:t>不同浓度酒精对间脑蟾蜍屈反射时长的影响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1642"/>
        <w:gridCol w:w="1642"/>
        <w:gridCol w:w="1643"/>
        <w:gridCol w:w="1643"/>
        <w:gridCol w:w="164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25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 w:val="0"/>
              <w:adjustRightInd w:val="0"/>
              <w:snapToGrid w:val="0"/>
              <w:spacing w:line="360" w:lineRule="auto"/>
              <w:jc w:val="left"/>
              <w:rPr>
                <w:rFonts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9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处理因素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adjustRightInd w:val="0"/>
              <w:snapToGrid w:val="0"/>
              <w:spacing w:line="360" w:lineRule="auto"/>
              <w:jc w:val="left"/>
              <w:rPr>
                <w:rFonts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adjustRightInd w:val="0"/>
              <w:snapToGrid w:val="0"/>
              <w:spacing w:line="360" w:lineRule="auto"/>
              <w:jc w:val="left"/>
              <w:rPr>
                <w:rFonts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空白对照</w:t>
            </w:r>
          </w:p>
        </w:tc>
        <w:tc>
          <w:tcPr>
            <w:tcW w:w="1642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adjustRightInd w:val="0"/>
              <w:snapToGrid w:val="0"/>
              <w:spacing w:line="360" w:lineRule="auto"/>
              <w:jc w:val="left"/>
              <w:rPr>
                <w:rFonts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任氏液</w:t>
            </w: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adjustRightInd w:val="0"/>
              <w:snapToGrid w:val="0"/>
              <w:spacing w:line="360" w:lineRule="auto"/>
              <w:jc w:val="left"/>
              <w:rPr>
                <w:rFonts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0.1%</w:t>
            </w:r>
            <w:r>
              <w:rPr>
                <w:rFonts w:hint="eastAsia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酒精</w:t>
            </w: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adjustRightInd w:val="0"/>
              <w:snapToGrid w:val="0"/>
              <w:spacing w:line="360" w:lineRule="auto"/>
              <w:jc w:val="left"/>
              <w:rPr>
                <w:rFonts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0.2%</w:t>
            </w:r>
            <w:r>
              <w:rPr>
                <w:rFonts w:hint="eastAsia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酒精</w:t>
            </w: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adjustRightInd w:val="0"/>
              <w:snapToGrid w:val="0"/>
              <w:spacing w:line="360" w:lineRule="auto"/>
              <w:jc w:val="left"/>
              <w:rPr>
                <w:rFonts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1% </w:t>
            </w:r>
            <w:r>
              <w:rPr>
                <w:rFonts w:hint="eastAsia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酒精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adjustRightInd w:val="0"/>
              <w:snapToGrid w:val="0"/>
              <w:spacing w:line="360" w:lineRule="auto"/>
              <w:jc w:val="left"/>
              <w:rPr>
                <w:rFonts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  <w:t>屈反射时长</w:t>
            </w:r>
          </w:p>
        </w:tc>
        <w:tc>
          <w:tcPr>
            <w:tcW w:w="82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 w:val="0"/>
              <w:adjustRightInd w:val="0"/>
              <w:snapToGrid w:val="0"/>
              <w:spacing w:line="360" w:lineRule="auto"/>
              <w:jc w:val="left"/>
              <w:rPr>
                <w:rFonts w:eastAsia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adjustRightInd w:val="0"/>
        <w:snapToGrid w:val="0"/>
        <w:spacing w:line="360" w:lineRule="auto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）</w:t>
      </w:r>
      <w:r>
        <w:rPr>
          <w:color w:val="000000"/>
          <w:szCs w:val="21"/>
        </w:rPr>
        <w:t xml:space="preserve">NA     PT     NA +PT     </w:t>
      </w:r>
      <w:r>
        <w:rPr>
          <w:rFonts w:hint="eastAsia"/>
          <w:color w:val="000000"/>
          <w:szCs w:val="21"/>
        </w:rPr>
        <w:t>酒精＋</w:t>
      </w:r>
      <w:r>
        <w:rPr>
          <w:color w:val="000000"/>
          <w:szCs w:val="21"/>
        </w:rPr>
        <w:t xml:space="preserve"> PT</w:t>
      </w:r>
    </w:p>
    <w:p>
      <w:pPr>
        <w:adjustRightInd w:val="0"/>
        <w:snapToGrid w:val="0"/>
        <w:spacing w:line="360" w:lineRule="auto"/>
        <w:jc w:val="left"/>
        <w:rPr>
          <w:color w:val="000000"/>
        </w:rPr>
      </w:pPr>
      <w:r>
        <w:rPr>
          <w:rFonts w:hint="eastAsia"/>
          <w:color w:val="000000"/>
          <w:szCs w:val="21"/>
        </w:rPr>
        <w:t>（</w:t>
      </w:r>
      <w:r>
        <w:rPr>
          <w:color w:val="000000"/>
          <w:szCs w:val="21"/>
        </w:rPr>
        <w:t>4</w:t>
      </w:r>
      <w:r>
        <w:rPr>
          <w:rFonts w:hint="eastAsia"/>
          <w:color w:val="000000"/>
          <w:szCs w:val="21"/>
        </w:rPr>
        <w:t>）酒精显著延长屈反射时长，酒后驾车导致司机反应迟钝</w:t>
      </w:r>
    </w:p>
    <w:p>
      <w:bookmarkStart w:id="0" w:name="_GoBack"/>
      <w:bookmarkEnd w:id="0"/>
    </w:p>
    <w:sectPr>
      <w:headerReference r:id="rId4" w:type="first"/>
      <w:headerReference r:id="rId3" w:type="default"/>
      <w:pgSz w:w="11906" w:h="16838"/>
      <w:pgMar w:top="1418" w:right="1077" w:bottom="1418" w:left="107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rPr>
        <w:rFonts w:ascii="微软雅黑" w:hAnsi="微软雅黑" w:eastAsia="微软雅黑" w:cs="微软雅黑"/>
        <w:b/>
        <w:color w:val="CC0000"/>
        <w:sz w:val="28"/>
        <w:szCs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127000</wp:posOffset>
          </wp:positionH>
          <wp:positionV relativeFrom="page">
            <wp:posOffset>12700000</wp:posOffset>
          </wp:positionV>
          <wp:extent cx="330200" cy="241300"/>
          <wp:effectExtent l="0" t="0" r="0" b="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0200" cy="241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A7B01"/>
    <w:rsid w:val="10DA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2021-06-19T16:09:00Z</dcterms:created>
  <dc:creator>Administrator</dc:creator>
  <cp:lastModifiedBy>Administrator</cp:lastModifiedBy>
  <dcterms:modified xsi:type="dcterms:W3CDTF">2021-06-19T16:09:46Z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